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3210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6.0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4"/>
                <w:szCs w:val="24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>w celu</w:t>
      </w:r>
      <w:bookmarkStart w:id="2" w:name="__DdeLink__91_917428757"/>
      <w:r>
        <w:rPr>
          <w:sz w:val="22"/>
          <w:szCs w:val="22"/>
        </w:rPr>
        <w:t xml:space="preserve"> </w:t>
      </w:r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rozpatrzenia/opiniowania projektu stałej/czasowej organizacji ruchu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na drogach publicznych, powiatowych i gminnych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zgodnie z art.10 ustawy z dnia 20 czerwca 1997r. - Prawo</w:t>
        <w:br/>
        <w:t>o ruchu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drogowym 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rozpatrzenia/opiniowania projektu stałej/czasowej organizacji ruchu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na drogach publicznych, powiatowych i gminnych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zgodnie z art.10 ustawy</w:t>
        <w:br/>
        <w:t>z dnia 20 czerwca 1997r. - Prawo o ruchu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drogowym </w:t>
      </w:r>
    </w:p>
    <w:tbl>
      <w:tblPr>
        <w:tblW w:w="10466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  <w:sz w:val="20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2021-11-25T08:12:07Z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