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3083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3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9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4"/>
                <w:szCs w:val="24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>w celu</w:t>
      </w:r>
      <w:bookmarkStart w:id="2" w:name="__DdeLink__91_917428757"/>
      <w:r>
        <w:rPr>
          <w:sz w:val="22"/>
          <w:szCs w:val="22"/>
        </w:rPr>
        <w:t xml:space="preserve"> </w:t>
      </w:r>
      <w:bookmarkStart w:id="3" w:name="__DdeLink__97_758057995"/>
      <w:bookmarkEnd w:id="2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wydania zaświadczenia o liczbie pojazdów, dla których został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udokumentowany wymóg posiadania zdolności finansowej zgodnie z art. 7a ust.4 pkt 2 ustawy</w:t>
        <w:br/>
        <w:t>o transporcie drogowym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 związku z art. 7 Rozporządzenia Parlamentu Europejskiego i Rady (WE) 1071/2009.</w:t>
      </w:r>
      <w:bookmarkEnd w:id="3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>Podanie przez Panią/Pana danych osobowych jest wymogiem ustawowym. Jest Pani/Pan zobowiązana/y do ich podania, a konsekwencją niepodania danych osobowych jest brak możliwości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wydania zaświadczenia o liczbie pojazdów, dla których został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udokumentowany wymóg posiadania zdolności finansowej zgodnie z art. 7a ust.4 pkt 2 ustawy o transporcie drogowym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 związku z art. 7 Rozporządzenia Parlamentu Europejskiego i Rady (WE) 1071/2009.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tbl>
      <w:tblPr>
        <w:tblW w:w="10466" w:type="dxa"/>
        <w:jc w:val="left"/>
        <w:tblInd w:w="-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/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  <w:sz w:val="20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  <w:sz w:val="20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  <w:sz w:val="20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  <w:sz w:val="20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2021-11-25T08:07:25Z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