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Dane będą przetwarzane w celu</w:t>
      </w:r>
      <w:r>
        <w:rPr>
          <w:rFonts w:ascii="Times New Roman" w:hAnsi="Times New Roman"/>
          <w:b w:val="false"/>
          <w:bCs/>
          <w:color w:val="000000"/>
          <w:sz w:val="20"/>
          <w:szCs w:val="20"/>
          <w:u w:val="none"/>
        </w:rPr>
        <w:t xml:space="preserve"> wydania zaświadczenia na przewozy drogowe na potrzeby własne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 osób/rzeczy zgodnie z art 33 ustawy o transporcie drogowym (Dz.U z 201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9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r. Poz.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58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58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2019-02-05T14:21:22Z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