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Dane będą przetwarzane w celu wydania zezwolenia na przejazd pojazdów nienormatywnych kategoria II i kategoria III zgodnie</w:t>
        <w:br/>
        <w:t xml:space="preserve">z art.64b i art.64c ustawy prawo o ruchu drogowym (Dz.U z 2018r. Poz 1990 </w:t>
      </w:r>
      <w:r>
        <w:rPr>
          <w:rFonts w:ascii="Times New Roman" w:hAnsi="Times New Roman"/>
          <w:b w:val="false"/>
          <w:bCs w:val="false"/>
          <w:sz w:val="20"/>
          <w:szCs w:val="20"/>
        </w:rPr>
        <w:t>z późn.zm.</w:t>
      </w:r>
      <w:r>
        <w:rPr>
          <w:rFonts w:ascii="Times New Roman" w:hAnsi="Times New Roman"/>
          <w:b w:val="false"/>
          <w:bCs w:val="false"/>
          <w:sz w:val="20"/>
          <w:szCs w:val="20"/>
        </w:rPr>
        <w:t>).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2019-02-05T14:32:40Z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